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BF" w:rsidRDefault="00035FBF" w:rsidP="00035FBF">
      <w:pPr>
        <w:shd w:val="clear" w:color="auto" w:fill="FFFFFF"/>
        <w:autoSpaceDE w:val="0"/>
        <w:autoSpaceDN w:val="0"/>
        <w:adjustRightInd w:val="0"/>
        <w:spacing w:before="341" w:after="200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6"/>
          <w:sz w:val="22"/>
          <w:szCs w:val="22"/>
        </w:rPr>
        <w:t>РОССИЙСКАЯ ФЕДЕРАЦИЯ</w:t>
      </w:r>
    </w:p>
    <w:p w:rsidR="00035FBF" w:rsidRDefault="00035FBF" w:rsidP="00035FBF">
      <w:pPr>
        <w:shd w:val="clear" w:color="auto" w:fill="FFFFFF"/>
        <w:autoSpaceDE w:val="0"/>
        <w:autoSpaceDN w:val="0"/>
        <w:adjustRightInd w:val="0"/>
        <w:spacing w:after="200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7"/>
          <w:sz w:val="22"/>
          <w:szCs w:val="22"/>
        </w:rPr>
        <w:t>ОРЛОВСКАЯ ОБЛАСТЬ</w:t>
      </w:r>
    </w:p>
    <w:p w:rsidR="00035FBF" w:rsidRDefault="00035FBF" w:rsidP="00035FBF">
      <w:pPr>
        <w:shd w:val="clear" w:color="auto" w:fill="FFFFFF"/>
        <w:autoSpaceDE w:val="0"/>
        <w:autoSpaceDN w:val="0"/>
        <w:adjustRightInd w:val="0"/>
        <w:spacing w:after="200" w:line="278" w:lineRule="exact"/>
        <w:ind w:right="-2"/>
        <w:jc w:val="center"/>
        <w:rPr>
          <w:rFonts w:ascii="Arial" w:hAnsi="Arial" w:cs="Arial"/>
          <w:sz w:val="22"/>
          <w:szCs w:val="22"/>
        </w:rPr>
      </w:pPr>
    </w:p>
    <w:p w:rsidR="00035FBF" w:rsidRDefault="00035FBF" w:rsidP="00035FBF">
      <w:pPr>
        <w:shd w:val="clear" w:color="auto" w:fill="FFFFFF"/>
        <w:autoSpaceDE w:val="0"/>
        <w:autoSpaceDN w:val="0"/>
        <w:adjustRightInd w:val="0"/>
        <w:spacing w:after="200" w:line="278" w:lineRule="exact"/>
        <w:ind w:right="-2"/>
        <w:jc w:val="center"/>
        <w:rPr>
          <w:rFonts w:ascii="Arial" w:hAnsi="Arial" w:cs="Arial"/>
          <w:b/>
          <w:bCs/>
          <w:i/>
          <w:iCs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pacing w:val="-3"/>
          <w:sz w:val="22"/>
          <w:szCs w:val="22"/>
        </w:rPr>
        <w:t>АДМИНИСТРАЦИЯ ГОРОДА МЦЕНСКА</w:t>
      </w:r>
    </w:p>
    <w:p w:rsidR="00035FBF" w:rsidRDefault="00035FBF" w:rsidP="00035FBF">
      <w:pPr>
        <w:shd w:val="clear" w:color="auto" w:fill="FFFFFF"/>
        <w:autoSpaceDE w:val="0"/>
        <w:autoSpaceDN w:val="0"/>
        <w:adjustRightInd w:val="0"/>
        <w:spacing w:after="200"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2"/>
          <w:szCs w:val="22"/>
        </w:rPr>
      </w:pPr>
    </w:p>
    <w:p w:rsidR="00035FBF" w:rsidRDefault="00035FBF" w:rsidP="00035FBF">
      <w:pPr>
        <w:shd w:val="clear" w:color="auto" w:fill="FFFFFF"/>
        <w:autoSpaceDE w:val="0"/>
        <w:autoSpaceDN w:val="0"/>
        <w:adjustRightInd w:val="0"/>
        <w:spacing w:before="341" w:after="200" w:line="278" w:lineRule="exact"/>
        <w:ind w:right="-2"/>
        <w:jc w:val="center"/>
        <w:rPr>
          <w:rFonts w:ascii="Arial" w:hAnsi="Arial" w:cs="Arial"/>
          <w:w w:val="0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2"/>
          <w:szCs w:val="22"/>
        </w:rPr>
        <w:t>ПОСТАНОВЛЕНИЕ</w:t>
      </w:r>
    </w:p>
    <w:p w:rsidR="00035FBF" w:rsidRDefault="00035FBF" w:rsidP="00035FBF">
      <w:pPr>
        <w:ind w:firstLine="709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13.11.2018 № 1314</w:t>
      </w:r>
    </w:p>
    <w:p w:rsidR="006C7E77" w:rsidRDefault="006C7E77">
      <w:pPr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города Мценска </w:t>
      </w:r>
    </w:p>
    <w:p w:rsidR="006C7E77" w:rsidRDefault="006C7E77">
      <w:pPr>
        <w:ind w:firstLine="709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от 08.09. 2017 г. № 938 « Об утверждении муниципальной программы </w:t>
      </w:r>
    </w:p>
    <w:p w:rsidR="006C7E77" w:rsidRDefault="006C7E77">
      <w:pPr>
        <w:ind w:firstLine="709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«Развитие культуры и искусства, сохранение и реконструкция военно-мемориальных об</w:t>
      </w:r>
      <w:r>
        <w:rPr>
          <w:color w:val="000000"/>
          <w:sz w:val="28"/>
          <w:szCs w:val="28"/>
          <w:lang w:eastAsia="ar-SA"/>
        </w:rPr>
        <w:t>ъ</w:t>
      </w:r>
      <w:r>
        <w:rPr>
          <w:color w:val="000000"/>
          <w:sz w:val="28"/>
          <w:szCs w:val="28"/>
          <w:lang w:eastAsia="ar-SA"/>
        </w:rPr>
        <w:t>ектов в городе Мценске (2018-2022 годы)»</w:t>
      </w:r>
    </w:p>
    <w:p w:rsidR="005232FB" w:rsidRDefault="005232FB">
      <w:pPr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В связи с необходимостью актуализации муниципальной программы «Развитие культуры и искусства, сохранение и реконструкция военно-мемор</w:t>
      </w:r>
      <w:r>
        <w:rPr>
          <w:color w:val="000000"/>
          <w:sz w:val="28"/>
          <w:szCs w:val="28"/>
          <w:lang w:eastAsia="ar-SA"/>
        </w:rPr>
        <w:t>и</w:t>
      </w:r>
      <w:r>
        <w:rPr>
          <w:color w:val="000000"/>
          <w:sz w:val="28"/>
          <w:szCs w:val="28"/>
          <w:lang w:eastAsia="ar-SA"/>
        </w:rPr>
        <w:t>альных объектов в городе Мценске (2018-2022 годы)»</w:t>
      </w:r>
    </w:p>
    <w:p w:rsidR="006C7E77" w:rsidRDefault="006C7E77">
      <w:pPr>
        <w:ind w:firstLine="709"/>
        <w:rPr>
          <w:color w:val="000000"/>
          <w:sz w:val="16"/>
          <w:szCs w:val="28"/>
          <w:lang w:eastAsia="ar-SA"/>
        </w:rPr>
      </w:pPr>
    </w:p>
    <w:p w:rsidR="006C7E77" w:rsidRDefault="006C7E77">
      <w:pPr>
        <w:ind w:firstLine="709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ПОСТАНОВЛЯЮ:</w:t>
      </w:r>
    </w:p>
    <w:p w:rsidR="006C7E77" w:rsidRDefault="006C7E77">
      <w:pPr>
        <w:ind w:firstLine="709"/>
        <w:jc w:val="center"/>
        <w:rPr>
          <w:color w:val="000000"/>
          <w:sz w:val="16"/>
          <w:szCs w:val="28"/>
          <w:lang w:eastAsia="ar-SA"/>
        </w:rPr>
      </w:pPr>
    </w:p>
    <w:p w:rsidR="006C7E77" w:rsidRDefault="006C7E7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Внести  в муниципальную  программу «Развитие культуры и искусства, сохранение и реконструкция военно-мемориальных объектов в городе Мценске </w:t>
      </w:r>
    </w:p>
    <w:p w:rsidR="006C7E77" w:rsidRDefault="006C7E77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(2018-2022 годы)» следующие изменения:</w:t>
      </w:r>
    </w:p>
    <w:p w:rsidR="006C7E77" w:rsidRDefault="006C7E7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1.1. В приложении к постановлению администрации города Мценска от 08.09.2017 г. № 938 «Об утверждении муниципальной программы «Развитие культуры и искусства, сохранение и реконструкция военно-мемориальных об</w:t>
      </w:r>
      <w:r>
        <w:rPr>
          <w:color w:val="000000"/>
          <w:sz w:val="28"/>
          <w:szCs w:val="28"/>
          <w:lang w:eastAsia="ar-SA"/>
        </w:rPr>
        <w:t>ъ</w:t>
      </w:r>
      <w:r>
        <w:rPr>
          <w:color w:val="000000"/>
          <w:sz w:val="28"/>
          <w:szCs w:val="28"/>
          <w:lang w:eastAsia="ar-SA"/>
        </w:rPr>
        <w:t>ектов в городе Мценске (2018-2022 годы)»:</w:t>
      </w:r>
    </w:p>
    <w:p w:rsidR="006C7E77" w:rsidRDefault="006C7E7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1.1.1. В паспорте муниципальной программы «Развитие культуры и и</w:t>
      </w:r>
      <w:r>
        <w:rPr>
          <w:color w:val="000000"/>
          <w:sz w:val="28"/>
          <w:szCs w:val="28"/>
          <w:lang w:eastAsia="ar-SA"/>
        </w:rPr>
        <w:t>с</w:t>
      </w:r>
      <w:r>
        <w:rPr>
          <w:color w:val="000000"/>
          <w:sz w:val="28"/>
          <w:szCs w:val="28"/>
          <w:lang w:eastAsia="ar-SA"/>
        </w:rPr>
        <w:t>кусства, сохранение и реконструкция военно-мемориальных объектов в городе Мценске (2018-2022 годы)» строку «Финансовое обеспечение программы» и</w:t>
      </w:r>
      <w:r>
        <w:rPr>
          <w:color w:val="000000"/>
          <w:sz w:val="28"/>
          <w:szCs w:val="28"/>
          <w:lang w:eastAsia="ar-SA"/>
        </w:rPr>
        <w:t>з</w:t>
      </w:r>
      <w:r>
        <w:rPr>
          <w:color w:val="000000"/>
          <w:sz w:val="28"/>
          <w:szCs w:val="28"/>
          <w:lang w:eastAsia="ar-SA"/>
        </w:rPr>
        <w:t>ложить в следующей редакции:</w:t>
      </w: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1"/>
        <w:gridCol w:w="4922"/>
      </w:tblGrid>
      <w:tr w:rsidR="006C7E77">
        <w:tc>
          <w:tcPr>
            <w:tcW w:w="4952" w:type="dxa"/>
          </w:tcPr>
          <w:p w:rsidR="006C7E77" w:rsidRDefault="006C7E77">
            <w:pPr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Сумма (тыс. руб.)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Всего по программе: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17403,9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Муниципальный бюджет: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1831,0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2018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802,4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2019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608,6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2020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115,0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2021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145,0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2022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160,0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lastRenderedPageBreak/>
              <w:t>Областной бюджет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15198,8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2018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6390,3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2019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8808,5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2020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2021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2022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Внебюджетные источники: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374,1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2018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254,1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2019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30,0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2020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30,0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2021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30,0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2022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30,0</w:t>
            </w:r>
          </w:p>
        </w:tc>
      </w:tr>
    </w:tbl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1.1.2. В Перечне основных мероприятий муниципальной программы «Развитие культуры и искусства, сохранение и реконструкция  военно-мем</w:t>
      </w:r>
      <w:r>
        <w:rPr>
          <w:color w:val="000000"/>
          <w:sz w:val="28"/>
          <w:szCs w:val="28"/>
          <w:lang w:eastAsia="ar-SA"/>
        </w:rPr>
        <w:t>о</w:t>
      </w:r>
      <w:r>
        <w:rPr>
          <w:color w:val="000000"/>
          <w:sz w:val="28"/>
          <w:szCs w:val="28"/>
          <w:lang w:eastAsia="ar-SA"/>
        </w:rPr>
        <w:t>риальных объектов в городе Мценске (2018-2022 годы)»:</w:t>
      </w: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а) задачу 4 «Проведение ремонтных работ»  изложить в следующей р</w:t>
      </w:r>
      <w:r>
        <w:rPr>
          <w:color w:val="000000"/>
          <w:sz w:val="28"/>
          <w:szCs w:val="28"/>
          <w:lang w:eastAsia="ar-SA"/>
        </w:rPr>
        <w:t>е</w:t>
      </w:r>
      <w:r>
        <w:rPr>
          <w:color w:val="000000"/>
          <w:sz w:val="28"/>
          <w:szCs w:val="28"/>
          <w:lang w:eastAsia="ar-SA"/>
        </w:rPr>
        <w:t>дакции, согласно приложению 1 к настоящему постановлению.</w:t>
      </w: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б)  строку «Итого по программе» изложить в следующей редакции:</w:t>
      </w: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110"/>
        <w:gridCol w:w="1459"/>
        <w:gridCol w:w="1130"/>
        <w:gridCol w:w="1271"/>
        <w:gridCol w:w="1550"/>
        <w:gridCol w:w="1550"/>
      </w:tblGrid>
      <w:tr w:rsidR="006C7E77">
        <w:tc>
          <w:tcPr>
            <w:tcW w:w="1783" w:type="dxa"/>
          </w:tcPr>
          <w:p w:rsidR="006C7E77" w:rsidRDefault="006C7E77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Источники</w:t>
            </w:r>
          </w:p>
          <w:p w:rsidR="006C7E77" w:rsidRDefault="006C7E77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финансирования</w:t>
            </w:r>
          </w:p>
        </w:tc>
        <w:tc>
          <w:tcPr>
            <w:tcW w:w="1112" w:type="dxa"/>
          </w:tcPr>
          <w:p w:rsidR="006C7E77" w:rsidRDefault="006C7E77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6994" w:type="dxa"/>
            <w:gridSpan w:val="5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Объемы финансирования</w:t>
            </w:r>
          </w:p>
          <w:p w:rsidR="006C7E77" w:rsidRDefault="006C7E77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( тыс. руб.)</w:t>
            </w:r>
          </w:p>
        </w:tc>
      </w:tr>
      <w:tr w:rsidR="006C7E77">
        <w:tc>
          <w:tcPr>
            <w:tcW w:w="1783" w:type="dxa"/>
          </w:tcPr>
          <w:p w:rsidR="006C7E77" w:rsidRDefault="006C7E77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2" w:type="dxa"/>
          </w:tcPr>
          <w:p w:rsidR="006C7E77" w:rsidRDefault="006C7E77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66" w:type="dxa"/>
          </w:tcPr>
          <w:p w:rsidR="006C7E77" w:rsidRDefault="006C7E77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2018г.</w:t>
            </w:r>
          </w:p>
        </w:tc>
        <w:tc>
          <w:tcPr>
            <w:tcW w:w="1134" w:type="dxa"/>
          </w:tcPr>
          <w:p w:rsidR="006C7E77" w:rsidRDefault="006C7E77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2019г.</w:t>
            </w:r>
          </w:p>
        </w:tc>
        <w:tc>
          <w:tcPr>
            <w:tcW w:w="1276" w:type="dxa"/>
          </w:tcPr>
          <w:p w:rsidR="006C7E77" w:rsidRDefault="006C7E77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2020г.</w:t>
            </w:r>
          </w:p>
        </w:tc>
        <w:tc>
          <w:tcPr>
            <w:tcW w:w="1559" w:type="dxa"/>
          </w:tcPr>
          <w:p w:rsidR="006C7E77" w:rsidRDefault="006C7E77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2021г.</w:t>
            </w:r>
          </w:p>
        </w:tc>
        <w:tc>
          <w:tcPr>
            <w:tcW w:w="1559" w:type="dxa"/>
          </w:tcPr>
          <w:p w:rsidR="006C7E77" w:rsidRDefault="006C7E77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2022г.</w:t>
            </w:r>
          </w:p>
        </w:tc>
      </w:tr>
      <w:tr w:rsidR="006C7E77">
        <w:tc>
          <w:tcPr>
            <w:tcW w:w="1783" w:type="dxa"/>
          </w:tcPr>
          <w:p w:rsidR="006C7E77" w:rsidRDefault="006C7E77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МБ:</w:t>
            </w:r>
          </w:p>
        </w:tc>
        <w:tc>
          <w:tcPr>
            <w:tcW w:w="1112" w:type="dxa"/>
          </w:tcPr>
          <w:p w:rsidR="006C7E77" w:rsidRDefault="006C7E77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1831,0</w:t>
            </w:r>
          </w:p>
        </w:tc>
        <w:tc>
          <w:tcPr>
            <w:tcW w:w="1466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802,4</w:t>
            </w:r>
          </w:p>
        </w:tc>
        <w:tc>
          <w:tcPr>
            <w:tcW w:w="1134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608,6</w:t>
            </w:r>
          </w:p>
        </w:tc>
        <w:tc>
          <w:tcPr>
            <w:tcW w:w="1276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115,0</w:t>
            </w:r>
          </w:p>
        </w:tc>
        <w:tc>
          <w:tcPr>
            <w:tcW w:w="1559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145,0</w:t>
            </w:r>
          </w:p>
        </w:tc>
        <w:tc>
          <w:tcPr>
            <w:tcW w:w="1559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160,0</w:t>
            </w:r>
          </w:p>
        </w:tc>
      </w:tr>
      <w:tr w:rsidR="006C7E77">
        <w:tc>
          <w:tcPr>
            <w:tcW w:w="1783" w:type="dxa"/>
          </w:tcPr>
          <w:p w:rsidR="006C7E77" w:rsidRDefault="006C7E77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ОБ:</w:t>
            </w:r>
          </w:p>
        </w:tc>
        <w:tc>
          <w:tcPr>
            <w:tcW w:w="1112" w:type="dxa"/>
          </w:tcPr>
          <w:p w:rsidR="006C7E77" w:rsidRDefault="006C7E77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15198,8</w:t>
            </w:r>
          </w:p>
        </w:tc>
        <w:tc>
          <w:tcPr>
            <w:tcW w:w="1466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6390,3</w:t>
            </w:r>
          </w:p>
        </w:tc>
        <w:tc>
          <w:tcPr>
            <w:tcW w:w="1134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8808,5</w:t>
            </w:r>
          </w:p>
        </w:tc>
        <w:tc>
          <w:tcPr>
            <w:tcW w:w="1276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0,0</w:t>
            </w:r>
          </w:p>
        </w:tc>
      </w:tr>
      <w:tr w:rsidR="006C7E77">
        <w:tc>
          <w:tcPr>
            <w:tcW w:w="1783" w:type="dxa"/>
          </w:tcPr>
          <w:p w:rsidR="006C7E77" w:rsidRDefault="006C7E77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ВН.</w:t>
            </w:r>
          </w:p>
        </w:tc>
        <w:tc>
          <w:tcPr>
            <w:tcW w:w="1112" w:type="dxa"/>
          </w:tcPr>
          <w:p w:rsidR="006C7E77" w:rsidRDefault="006C7E77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374,1</w:t>
            </w:r>
          </w:p>
        </w:tc>
        <w:tc>
          <w:tcPr>
            <w:tcW w:w="1466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254,1</w:t>
            </w:r>
          </w:p>
        </w:tc>
        <w:tc>
          <w:tcPr>
            <w:tcW w:w="1134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559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559" w:type="dxa"/>
          </w:tcPr>
          <w:p w:rsidR="006C7E77" w:rsidRDefault="006C7E77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</w:tr>
      <w:tr w:rsidR="006C7E77">
        <w:tc>
          <w:tcPr>
            <w:tcW w:w="1783" w:type="dxa"/>
          </w:tcPr>
          <w:p w:rsidR="006C7E77" w:rsidRDefault="006C7E77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112" w:type="dxa"/>
          </w:tcPr>
          <w:p w:rsidR="006C7E77" w:rsidRDefault="006C7E77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17403,9</w:t>
            </w:r>
          </w:p>
        </w:tc>
        <w:tc>
          <w:tcPr>
            <w:tcW w:w="1466" w:type="dxa"/>
          </w:tcPr>
          <w:p w:rsidR="006C7E77" w:rsidRDefault="006C7E77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7446,8</w:t>
            </w:r>
          </w:p>
        </w:tc>
        <w:tc>
          <w:tcPr>
            <w:tcW w:w="1134" w:type="dxa"/>
          </w:tcPr>
          <w:p w:rsidR="006C7E77" w:rsidRDefault="006C7E77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9447,1</w:t>
            </w:r>
          </w:p>
        </w:tc>
        <w:tc>
          <w:tcPr>
            <w:tcW w:w="1276" w:type="dxa"/>
          </w:tcPr>
          <w:p w:rsidR="006C7E77" w:rsidRDefault="006C7E77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145,0</w:t>
            </w:r>
          </w:p>
        </w:tc>
        <w:tc>
          <w:tcPr>
            <w:tcW w:w="1559" w:type="dxa"/>
          </w:tcPr>
          <w:p w:rsidR="006C7E77" w:rsidRDefault="006C7E77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175,0</w:t>
            </w:r>
          </w:p>
        </w:tc>
        <w:tc>
          <w:tcPr>
            <w:tcW w:w="1559" w:type="dxa"/>
          </w:tcPr>
          <w:p w:rsidR="006C7E77" w:rsidRDefault="006C7E77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190,0</w:t>
            </w:r>
          </w:p>
        </w:tc>
      </w:tr>
    </w:tbl>
    <w:p w:rsidR="006C7E77" w:rsidRDefault="006C7E77">
      <w:pPr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1.1.3 Раздел 4. Обоснование ресурсного обеспечения программы «Разв</w:t>
      </w:r>
      <w:r>
        <w:rPr>
          <w:color w:val="000000"/>
          <w:sz w:val="28"/>
          <w:szCs w:val="28"/>
          <w:lang w:eastAsia="ar-SA"/>
        </w:rPr>
        <w:t>и</w:t>
      </w:r>
      <w:r>
        <w:rPr>
          <w:color w:val="000000"/>
          <w:sz w:val="28"/>
          <w:szCs w:val="28"/>
          <w:lang w:eastAsia="ar-SA"/>
        </w:rPr>
        <w:t>тие культуры и искусства, сохранение и реконструкция военно-мемориальных объектов в городе Мценске (2018-2022 годы)» изложить в следующей редакции с</w:t>
      </w:r>
      <w:r>
        <w:rPr>
          <w:color w:val="000000"/>
          <w:sz w:val="28"/>
          <w:szCs w:val="28"/>
          <w:lang w:eastAsia="ar-SA"/>
        </w:rPr>
        <w:t>о</w:t>
      </w:r>
      <w:r>
        <w:rPr>
          <w:color w:val="000000"/>
          <w:sz w:val="28"/>
          <w:szCs w:val="28"/>
          <w:lang w:eastAsia="ar-SA"/>
        </w:rPr>
        <w:t>гласно приложению 2 к настоящему постановлению.</w:t>
      </w: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1.1.4. В паспорте муниципальной подпрограммы «Развитие отрасли кул</w:t>
      </w:r>
      <w:r>
        <w:rPr>
          <w:color w:val="000000"/>
          <w:sz w:val="28"/>
          <w:szCs w:val="28"/>
          <w:lang w:eastAsia="ar-SA"/>
        </w:rPr>
        <w:t>ь</w:t>
      </w:r>
      <w:r>
        <w:rPr>
          <w:color w:val="000000"/>
          <w:sz w:val="28"/>
          <w:szCs w:val="28"/>
          <w:lang w:eastAsia="ar-SA"/>
        </w:rPr>
        <w:t>туры и искусства в городе Мценске на 2018-2022 годы»:</w:t>
      </w: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Строку «Финансовое обеспечение подпрограммы» изложить в следу</w:t>
      </w:r>
      <w:r>
        <w:rPr>
          <w:color w:val="000000"/>
          <w:sz w:val="28"/>
          <w:szCs w:val="28"/>
          <w:lang w:eastAsia="ar-SA"/>
        </w:rPr>
        <w:t>ю</w:t>
      </w:r>
      <w:r>
        <w:rPr>
          <w:color w:val="000000"/>
          <w:sz w:val="28"/>
          <w:szCs w:val="28"/>
          <w:lang w:eastAsia="ar-SA"/>
        </w:rPr>
        <w:t>щей редакции:</w:t>
      </w: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1"/>
        <w:gridCol w:w="4922"/>
      </w:tblGrid>
      <w:tr w:rsidR="006C7E77"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Финансовое обеспечение </w:t>
            </w:r>
          </w:p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подпрограммы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Сумма (тыс. руб.)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Всего по подпрограмме: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16803,5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1531,0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2018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742,4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2019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548,6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2020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55,0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2021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85,0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2022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100,0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Областной бюджет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14898,4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2018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6090,3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lastRenderedPageBreak/>
              <w:t>2019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8808,1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2020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2021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2022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>374,1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2018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254,1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2019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30,0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2020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30,0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2021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30,0</w:t>
            </w:r>
          </w:p>
        </w:tc>
      </w:tr>
      <w:tr w:rsidR="006C7E77">
        <w:tc>
          <w:tcPr>
            <w:tcW w:w="4952" w:type="dxa"/>
          </w:tcPr>
          <w:p w:rsidR="006C7E77" w:rsidRDefault="006C7E7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2022 год</w:t>
            </w:r>
          </w:p>
        </w:tc>
        <w:tc>
          <w:tcPr>
            <w:tcW w:w="4952" w:type="dxa"/>
          </w:tcPr>
          <w:p w:rsidR="006C7E77" w:rsidRDefault="006C7E7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30,0</w:t>
            </w:r>
          </w:p>
        </w:tc>
      </w:tr>
    </w:tbl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1.1.5. В Перечне основных мероприятий подпрограммы «Развитие кул</w:t>
      </w:r>
      <w:r>
        <w:rPr>
          <w:color w:val="000000"/>
          <w:sz w:val="28"/>
          <w:szCs w:val="28"/>
          <w:lang w:eastAsia="ar-SA"/>
        </w:rPr>
        <w:t>ь</w:t>
      </w:r>
      <w:r>
        <w:rPr>
          <w:color w:val="000000"/>
          <w:sz w:val="28"/>
          <w:szCs w:val="28"/>
          <w:lang w:eastAsia="ar-SA"/>
        </w:rPr>
        <w:t>туры и иску</w:t>
      </w:r>
      <w:r>
        <w:rPr>
          <w:color w:val="000000"/>
          <w:sz w:val="28"/>
          <w:szCs w:val="28"/>
          <w:lang w:eastAsia="ar-SA"/>
        </w:rPr>
        <w:t>с</w:t>
      </w:r>
      <w:r>
        <w:rPr>
          <w:color w:val="000000"/>
          <w:sz w:val="28"/>
          <w:szCs w:val="28"/>
          <w:lang w:eastAsia="ar-SA"/>
        </w:rPr>
        <w:t>ства в городе Мценске (2018-2022 годы)»:</w:t>
      </w: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а) задачу 4 « Поддержание зданий муниципальных бюджетных учрежд</w:t>
      </w:r>
      <w:r>
        <w:rPr>
          <w:color w:val="000000"/>
          <w:sz w:val="28"/>
          <w:szCs w:val="28"/>
          <w:lang w:eastAsia="ar-SA"/>
        </w:rPr>
        <w:t>е</w:t>
      </w:r>
      <w:r>
        <w:rPr>
          <w:color w:val="000000"/>
          <w:sz w:val="28"/>
          <w:szCs w:val="28"/>
          <w:lang w:eastAsia="ar-SA"/>
        </w:rPr>
        <w:t>ний культуры в нормативном состоянии» изложить в следующей редакции с</w:t>
      </w:r>
      <w:r>
        <w:rPr>
          <w:color w:val="000000"/>
          <w:sz w:val="28"/>
          <w:szCs w:val="28"/>
          <w:lang w:eastAsia="ar-SA"/>
        </w:rPr>
        <w:t>о</w:t>
      </w:r>
      <w:r>
        <w:rPr>
          <w:color w:val="000000"/>
          <w:sz w:val="28"/>
          <w:szCs w:val="28"/>
          <w:lang w:eastAsia="ar-SA"/>
        </w:rPr>
        <w:t>гласно приложению 3 к н</w:t>
      </w:r>
      <w:r>
        <w:rPr>
          <w:color w:val="000000"/>
          <w:sz w:val="28"/>
          <w:szCs w:val="28"/>
          <w:lang w:eastAsia="ar-SA"/>
        </w:rPr>
        <w:t>а</w:t>
      </w:r>
      <w:r>
        <w:rPr>
          <w:color w:val="000000"/>
          <w:sz w:val="28"/>
          <w:szCs w:val="28"/>
          <w:lang w:eastAsia="ar-SA"/>
        </w:rPr>
        <w:t>стоящему постановлению</w:t>
      </w:r>
    </w:p>
    <w:p w:rsidR="006C7E77" w:rsidRDefault="006C7E7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 Комитету организационно-кадровой работы, информатизации и дел</w:t>
      </w:r>
      <w:r>
        <w:rPr>
          <w:color w:val="000000"/>
          <w:sz w:val="28"/>
          <w:szCs w:val="28"/>
          <w:lang w:eastAsia="ar-SA"/>
        </w:rPr>
        <w:t>о</w:t>
      </w:r>
      <w:r>
        <w:rPr>
          <w:color w:val="000000"/>
          <w:sz w:val="28"/>
          <w:szCs w:val="28"/>
          <w:lang w:eastAsia="ar-SA"/>
        </w:rPr>
        <w:t>производства администрации города Мценска (</w:t>
      </w:r>
      <w:proofErr w:type="spellStart"/>
      <w:r>
        <w:rPr>
          <w:color w:val="000000"/>
          <w:sz w:val="28"/>
          <w:szCs w:val="28"/>
          <w:lang w:eastAsia="ar-SA"/>
        </w:rPr>
        <w:t>Забродская</w:t>
      </w:r>
      <w:proofErr w:type="spellEnd"/>
      <w:r>
        <w:rPr>
          <w:color w:val="000000"/>
          <w:sz w:val="28"/>
          <w:szCs w:val="28"/>
          <w:lang w:eastAsia="ar-SA"/>
        </w:rPr>
        <w:t xml:space="preserve">  Н. Е.) </w:t>
      </w:r>
      <w:proofErr w:type="gramStart"/>
      <w:r>
        <w:rPr>
          <w:color w:val="000000"/>
          <w:sz w:val="28"/>
          <w:szCs w:val="28"/>
          <w:lang w:eastAsia="ar-SA"/>
        </w:rPr>
        <w:t>разместить</w:t>
      </w:r>
      <w:proofErr w:type="gramEnd"/>
      <w:r>
        <w:rPr>
          <w:color w:val="000000"/>
          <w:sz w:val="28"/>
          <w:szCs w:val="28"/>
          <w:lang w:eastAsia="ar-SA"/>
        </w:rPr>
        <w:t xml:space="preserve"> настоящее постановление на официальном сайте администрации города Мце</w:t>
      </w:r>
      <w:r>
        <w:rPr>
          <w:color w:val="000000"/>
          <w:sz w:val="28"/>
          <w:szCs w:val="28"/>
          <w:lang w:eastAsia="ar-SA"/>
        </w:rPr>
        <w:t>н</w:t>
      </w:r>
      <w:r>
        <w:rPr>
          <w:color w:val="000000"/>
          <w:sz w:val="28"/>
          <w:szCs w:val="28"/>
          <w:lang w:eastAsia="ar-SA"/>
        </w:rPr>
        <w:t>ска  в информационно-телекоммуникационной  сети «Интернет».</w:t>
      </w:r>
    </w:p>
    <w:p w:rsidR="006C7E77" w:rsidRDefault="006C7E7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 </w:t>
      </w:r>
      <w:proofErr w:type="gramStart"/>
      <w:r>
        <w:rPr>
          <w:color w:val="000000"/>
          <w:sz w:val="28"/>
          <w:szCs w:val="28"/>
          <w:lang w:eastAsia="ar-SA"/>
        </w:rPr>
        <w:t>Контроль  за</w:t>
      </w:r>
      <w:proofErr w:type="gramEnd"/>
      <w:r>
        <w:rPr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 заместителя главы администрации города Мценска по социальным  вопросам   Г. Н. Логинову.</w:t>
      </w: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</w:p>
    <w:p w:rsidR="006C7E77" w:rsidRDefault="006C7E77">
      <w:p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Глава города Мценска                                                                            А. Н. Беляев</w:t>
      </w: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left="1069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6C7E77" w:rsidRDefault="006C7E77">
      <w:pPr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6C7E77" w:rsidRDefault="006C7E77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6C7E77" w:rsidRDefault="006C7E77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6C7E77" w:rsidRDefault="006C7E77">
      <w:pPr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sectPr w:rsidR="006C7E77">
          <w:pgSz w:w="11906" w:h="16838"/>
          <w:pgMar w:top="851" w:right="851" w:bottom="1418" w:left="1418" w:header="709" w:footer="709" w:gutter="0"/>
          <w:cols w:space="720"/>
          <w:docGrid w:linePitch="326"/>
        </w:sectPr>
      </w:pPr>
    </w:p>
    <w:p w:rsidR="006C7E77" w:rsidRDefault="006C7E77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6C7E77" w:rsidRDefault="006C7E77">
      <w:pPr>
        <w:autoSpaceDE w:val="0"/>
        <w:autoSpaceDN w:val="0"/>
        <w:adjustRightInd w:val="0"/>
        <w:rPr>
          <w:szCs w:val="28"/>
        </w:rPr>
      </w:pPr>
    </w:p>
    <w:p w:rsidR="006C7E77" w:rsidRDefault="006C7E7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1</w:t>
      </w:r>
    </w:p>
    <w:p w:rsidR="006C7E77" w:rsidRDefault="006C7E7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6C7E77" w:rsidRDefault="005232FB" w:rsidP="005232F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города  Мценска от 13.11.2018  № 1314       </w:t>
      </w:r>
      <w:r w:rsidR="006C7E77">
        <w:rPr>
          <w:szCs w:val="28"/>
        </w:rPr>
        <w:t xml:space="preserve">                       </w:t>
      </w: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numPr>
          <w:ilvl w:val="1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 муниципальной программы</w:t>
      </w:r>
    </w:p>
    <w:p w:rsidR="006C7E77" w:rsidRDefault="006C7E77">
      <w:pPr>
        <w:autoSpaceDE w:val="0"/>
        <w:autoSpaceDN w:val="0"/>
        <w:adjustRightInd w:val="0"/>
        <w:ind w:left="144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«Развитие культуры и искусства, сохранение и реконструкция  </w:t>
      </w:r>
      <w:proofErr w:type="gramStart"/>
      <w:r>
        <w:rPr>
          <w:sz w:val="26"/>
          <w:szCs w:val="28"/>
        </w:rPr>
        <w:t>военно-мемориальных</w:t>
      </w:r>
      <w:proofErr w:type="gramEnd"/>
    </w:p>
    <w:p w:rsidR="006C7E77" w:rsidRDefault="006C7E77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объе</w:t>
      </w:r>
      <w:r>
        <w:rPr>
          <w:sz w:val="26"/>
          <w:szCs w:val="28"/>
        </w:rPr>
        <w:t>к</w:t>
      </w:r>
      <w:r>
        <w:rPr>
          <w:sz w:val="26"/>
          <w:szCs w:val="28"/>
        </w:rPr>
        <w:t>тов в  городе Мценске (2018–2022 годы)»</w:t>
      </w:r>
    </w:p>
    <w:p w:rsidR="006C7E77" w:rsidRDefault="006C7E77">
      <w:pPr>
        <w:jc w:val="center"/>
      </w:pPr>
    </w:p>
    <w:tbl>
      <w:tblPr>
        <w:tblW w:w="15857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"/>
        <w:gridCol w:w="2122"/>
        <w:gridCol w:w="720"/>
        <w:gridCol w:w="900"/>
        <w:gridCol w:w="1078"/>
        <w:gridCol w:w="1080"/>
        <w:gridCol w:w="799"/>
        <w:gridCol w:w="117"/>
        <w:gridCol w:w="603"/>
        <w:gridCol w:w="720"/>
        <w:gridCol w:w="720"/>
        <w:gridCol w:w="1359"/>
        <w:gridCol w:w="21"/>
        <w:gridCol w:w="688"/>
        <w:gridCol w:w="32"/>
        <w:gridCol w:w="720"/>
        <w:gridCol w:w="60"/>
        <w:gridCol w:w="606"/>
        <w:gridCol w:w="54"/>
        <w:gridCol w:w="654"/>
        <w:gridCol w:w="66"/>
        <w:gridCol w:w="643"/>
        <w:gridCol w:w="77"/>
        <w:gridCol w:w="1440"/>
      </w:tblGrid>
      <w:tr w:rsidR="006C7E77">
        <w:trPr>
          <w:cantSplit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задачи,  </w:t>
            </w:r>
            <w:r>
              <w:rPr>
                <w:rFonts w:ascii="Times New Roman" w:hAnsi="Times New Roman" w:cs="Times New Roman"/>
              </w:rPr>
              <w:br/>
              <w:t xml:space="preserve">   основные   </w:t>
            </w:r>
            <w:r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</w:t>
            </w:r>
            <w:r>
              <w:rPr>
                <w:rFonts w:ascii="Times New Roman" w:hAnsi="Times New Roman" w:cs="Times New Roman"/>
              </w:rPr>
              <w:br/>
              <w:t>(ква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тал, </w:t>
            </w:r>
            <w:r>
              <w:rPr>
                <w:rFonts w:ascii="Times New Roman" w:hAnsi="Times New Roman" w:cs="Times New Roman"/>
              </w:rPr>
              <w:br/>
              <w:t xml:space="preserve">  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ники   </w:t>
            </w:r>
            <w:r>
              <w:rPr>
                <w:rFonts w:ascii="Times New Roman" w:hAnsi="Times New Roman" w:cs="Times New Roman"/>
              </w:rPr>
              <w:br/>
              <w:t>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       </w:t>
            </w:r>
            <w:r>
              <w:rPr>
                <w:rFonts w:ascii="Times New Roman" w:hAnsi="Times New Roman" w:cs="Times New Roman"/>
              </w:rPr>
              <w:br/>
              <w:t xml:space="preserve">   финансирования,   </w:t>
            </w:r>
            <w:r>
              <w:rPr>
                <w:rFonts w:ascii="Times New Roman" w:hAnsi="Times New Roman" w:cs="Times New Roman"/>
              </w:rPr>
              <w:br/>
              <w:t xml:space="preserve">      тыс. руб.</w:t>
            </w: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(индикаторы)   </w:t>
            </w:r>
            <w:r>
              <w:rPr>
                <w:rFonts w:ascii="Times New Roman" w:hAnsi="Times New Roman" w:cs="Times New Roman"/>
              </w:rPr>
              <w:br/>
              <w:t xml:space="preserve"> результативности выполнения </w:t>
            </w:r>
            <w:r>
              <w:rPr>
                <w:rFonts w:ascii="Times New Roman" w:hAnsi="Times New Roman" w:cs="Times New Roman"/>
              </w:rPr>
              <w:br/>
              <w:t xml:space="preserve"> основных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</w:t>
            </w:r>
            <w:r>
              <w:rPr>
                <w:rFonts w:ascii="Times New Roman" w:hAnsi="Times New Roman" w:cs="Times New Roman"/>
              </w:rPr>
              <w:br/>
              <w:t xml:space="preserve">  перечень  </w:t>
            </w:r>
            <w:r>
              <w:rPr>
                <w:rFonts w:ascii="Times New Roman" w:hAnsi="Times New Roman" w:cs="Times New Roman"/>
              </w:rPr>
              <w:br/>
              <w:t>организаций,</w:t>
            </w:r>
            <w:r>
              <w:rPr>
                <w:rFonts w:ascii="Times New Roman" w:hAnsi="Times New Roman" w:cs="Times New Roman"/>
              </w:rPr>
              <w:br/>
              <w:t xml:space="preserve">участвующих </w:t>
            </w:r>
            <w:r>
              <w:rPr>
                <w:rFonts w:ascii="Times New Roman" w:hAnsi="Times New Roman" w:cs="Times New Roman"/>
              </w:rPr>
              <w:br/>
              <w:t>в реализации</w:t>
            </w:r>
            <w:r>
              <w:rPr>
                <w:rFonts w:ascii="Times New Roman" w:hAnsi="Times New Roman" w:cs="Times New Roman"/>
              </w:rPr>
              <w:br/>
              <w:t xml:space="preserve">основных </w:t>
            </w:r>
            <w:r>
              <w:rPr>
                <w:rFonts w:ascii="Times New Roman" w:hAnsi="Times New Roman" w:cs="Times New Roman"/>
              </w:rPr>
              <w:br/>
              <w:t>мероприятий</w:t>
            </w:r>
            <w:r>
              <w:rPr>
                <w:rStyle w:val="af6"/>
              </w:rPr>
              <w:footnoteReference w:id="1"/>
            </w:r>
          </w:p>
        </w:tc>
      </w:tr>
      <w:tr w:rsidR="006C7E77">
        <w:trPr>
          <w:cantSplit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C7E77" w:rsidRDefault="006C7E7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год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</w:t>
            </w:r>
            <w:r>
              <w:rPr>
                <w:rFonts w:ascii="Times New Roman" w:hAnsi="Times New Roman" w:cs="Times New Roman"/>
              </w:rPr>
              <w:br/>
              <w:t>ед. измерения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pStyle w:val="ConsPlusCell"/>
            </w:pPr>
          </w:p>
        </w:tc>
      </w:tr>
      <w:tr w:rsidR="006C7E77">
        <w:trPr>
          <w:tblHeader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C7E77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7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Задача 4:          Проведение ремонтных работ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77">
        <w:trPr>
          <w:cantSplit/>
          <w:trHeight w:val="39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 помещений МБУ 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«Краеведческий 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5263,2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5263,2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ведческий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0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</w:t>
            </w:r>
            <w:proofErr w:type="gramStart"/>
            <w:r>
              <w:rPr>
                <w:rFonts w:ascii="Times New Roman" w:hAnsi="Times New Roman" w:cs="Times New Roman"/>
              </w:rPr>
              <w:t>проверки определения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верности  сметной стоимости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ремонта помещ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МБУ «Краеведч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30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Капитальный ремонт кровли 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ры»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4008,5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тивного  зала МБУ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«Мценский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Дворец </w:t>
            </w:r>
            <w:r>
              <w:rPr>
                <w:rFonts w:ascii="Times New Roman" w:hAnsi="Times New Roman" w:cs="Times New Roman"/>
              </w:rPr>
              <w:lastRenderedPageBreak/>
              <w:t>культуры»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рамках проекта «Народный бюджет в Орловской области»)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1493,5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748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 - сметной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тации, проверка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деления достоверн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сметной стоим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на проведение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 по капитальному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монту помещений МБУ « Краеве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ческий музей»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ведческий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Всего: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7056,8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742,4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6090,3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8808,1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C7E77" w:rsidRDefault="006C7E77">
      <w:pPr>
        <w:jc w:val="center"/>
        <w:rPr>
          <w:sz w:val="26"/>
          <w:szCs w:val="16"/>
        </w:rPr>
        <w:sectPr w:rsidR="006C7E77">
          <w:pgSz w:w="16838" w:h="11906" w:orient="landscape"/>
          <w:pgMar w:top="284" w:right="851" w:bottom="851" w:left="1418" w:header="709" w:footer="709" w:gutter="0"/>
          <w:cols w:space="720"/>
          <w:docGrid w:linePitch="326"/>
        </w:sectPr>
      </w:pPr>
    </w:p>
    <w:p w:rsidR="006C7E77" w:rsidRDefault="006C7E7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6C7E77" w:rsidRDefault="006C7E7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6C7E77" w:rsidRDefault="006C7E7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города Мценска </w:t>
      </w:r>
    </w:p>
    <w:p w:rsidR="006C7E77" w:rsidRPr="005232FB" w:rsidRDefault="005232FB" w:rsidP="005232F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 13.11.2018  №  1314</w:t>
      </w:r>
      <w:r w:rsidR="006C7E77">
        <w:rPr>
          <w:szCs w:val="28"/>
        </w:rPr>
        <w:t xml:space="preserve">                            </w:t>
      </w:r>
    </w:p>
    <w:p w:rsidR="006C7E77" w:rsidRDefault="006C7E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 Обоснование ресурсного обеспечения программы</w:t>
      </w:r>
    </w:p>
    <w:p w:rsidR="006C7E77" w:rsidRDefault="006C7E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отрасли культуры и искусства, сохранение</w:t>
      </w:r>
    </w:p>
    <w:p w:rsidR="006C7E77" w:rsidRDefault="006C7E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реконструкция  военно-мемориальных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</w:t>
      </w:r>
    </w:p>
    <w:p w:rsidR="006C7E77" w:rsidRDefault="006C7E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 городе Мце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ске</w:t>
      </w:r>
    </w:p>
    <w:p w:rsidR="006C7E77" w:rsidRDefault="006C7E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(2018–2022 годы)»</w:t>
      </w:r>
    </w:p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</w:pPr>
    </w:p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0"/>
        <w:gridCol w:w="1440"/>
        <w:gridCol w:w="1236"/>
        <w:gridCol w:w="924"/>
        <w:gridCol w:w="900"/>
        <w:gridCol w:w="1080"/>
        <w:gridCol w:w="900"/>
      </w:tblGrid>
      <w:tr w:rsidR="006C7E77">
        <w:trPr>
          <w:cantSplit/>
          <w:trHeight w:val="560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реализации, тыс. руб.</w:t>
            </w:r>
          </w:p>
        </w:tc>
      </w:tr>
      <w:tr w:rsidR="006C7E77">
        <w:trPr>
          <w:cantSplit/>
          <w:trHeight w:val="149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7E77">
        <w:trPr>
          <w:trHeight w:val="249"/>
          <w:tblHeader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7E77">
        <w:trPr>
          <w:trHeight w:val="2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программе: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17403,9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9447,1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6C7E77">
        <w:trPr>
          <w:cantSplit/>
          <w:trHeight w:val="1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счет: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7">
        <w:trPr>
          <w:cantSplit/>
          <w:trHeight w:val="5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город Мценск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1831,0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C7E77">
        <w:trPr>
          <w:cantSplit/>
          <w:trHeight w:val="1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15198,8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8808,5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E77">
        <w:trPr>
          <w:cantSplit/>
          <w:trHeight w:val="1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E77">
        <w:trPr>
          <w:cantSplit/>
          <w:trHeight w:val="1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</w:pPr>
    </w:p>
    <w:p w:rsidR="006C7E77" w:rsidRDefault="006C7E77">
      <w:pPr>
        <w:pStyle w:val="af2"/>
        <w:tabs>
          <w:tab w:val="left" w:pos="0"/>
        </w:tabs>
        <w:rPr>
          <w:szCs w:val="24"/>
        </w:rPr>
      </w:pPr>
    </w:p>
    <w:p w:rsidR="006C7E77" w:rsidRDefault="006C7E77">
      <w:pPr>
        <w:spacing w:after="200" w:line="276" w:lineRule="auto"/>
        <w:rPr>
          <w:rFonts w:eastAsia="Calibri"/>
          <w:lang w:eastAsia="en-US"/>
        </w:rPr>
        <w:sectPr w:rsidR="006C7E77">
          <w:pgSz w:w="11906" w:h="16838"/>
          <w:pgMar w:top="1134" w:right="851" w:bottom="851" w:left="1418" w:header="709" w:footer="709" w:gutter="0"/>
          <w:cols w:space="720"/>
          <w:docGrid w:linePitch="326"/>
        </w:sectPr>
      </w:pPr>
    </w:p>
    <w:p w:rsidR="006C7E77" w:rsidRDefault="006C7E7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6C7E77" w:rsidRDefault="006C7E7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6C7E77" w:rsidRDefault="006C7E7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Мценска</w:t>
      </w:r>
    </w:p>
    <w:p w:rsidR="006C7E77" w:rsidRDefault="005232F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13.11.2018 № 1314</w:t>
      </w:r>
    </w:p>
    <w:p w:rsidR="006C7E77" w:rsidRDefault="006C7E77">
      <w:pPr>
        <w:autoSpaceDE w:val="0"/>
        <w:autoSpaceDN w:val="0"/>
        <w:adjustRightInd w:val="0"/>
        <w:jc w:val="right"/>
        <w:outlineLvl w:val="1"/>
        <w:rPr>
          <w:sz w:val="26"/>
          <w:szCs w:val="28"/>
        </w:rPr>
      </w:pPr>
      <w:r>
        <w:rPr>
          <w:szCs w:val="28"/>
        </w:rPr>
        <w:t xml:space="preserve">       </w:t>
      </w:r>
    </w:p>
    <w:p w:rsidR="006C7E77" w:rsidRDefault="006C7E77">
      <w:pPr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p w:rsidR="006C7E77" w:rsidRDefault="006C7E77">
      <w:pPr>
        <w:autoSpaceDE w:val="0"/>
        <w:autoSpaceDN w:val="0"/>
        <w:adjustRightInd w:val="0"/>
        <w:outlineLvl w:val="1"/>
        <w:rPr>
          <w:sz w:val="26"/>
          <w:szCs w:val="28"/>
        </w:rPr>
      </w:pPr>
    </w:p>
    <w:p w:rsidR="006C7E77" w:rsidRDefault="006C7E77">
      <w:pPr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p w:rsidR="006C7E77" w:rsidRDefault="006C7E77">
      <w:pPr>
        <w:numPr>
          <w:ilvl w:val="1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 муниципальной подпрограммы</w:t>
      </w:r>
    </w:p>
    <w:p w:rsidR="006C7E77" w:rsidRDefault="006C7E77">
      <w:pPr>
        <w:autoSpaceDE w:val="0"/>
        <w:autoSpaceDN w:val="0"/>
        <w:adjustRightInd w:val="0"/>
        <w:ind w:left="1080"/>
        <w:jc w:val="center"/>
        <w:rPr>
          <w:sz w:val="26"/>
          <w:szCs w:val="28"/>
        </w:rPr>
      </w:pPr>
      <w:r>
        <w:rPr>
          <w:sz w:val="26"/>
          <w:szCs w:val="28"/>
        </w:rPr>
        <w:t>«Развитие культуры и искусства  города Мценска (2018–2022 годы)»</w:t>
      </w:r>
    </w:p>
    <w:p w:rsidR="006C7E77" w:rsidRDefault="006C7E77">
      <w:pPr>
        <w:jc w:val="center"/>
      </w:pPr>
    </w:p>
    <w:tbl>
      <w:tblPr>
        <w:tblW w:w="15857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7"/>
        <w:gridCol w:w="2121"/>
        <w:gridCol w:w="720"/>
        <w:gridCol w:w="900"/>
        <w:gridCol w:w="1078"/>
        <w:gridCol w:w="1080"/>
        <w:gridCol w:w="799"/>
        <w:gridCol w:w="117"/>
        <w:gridCol w:w="603"/>
        <w:gridCol w:w="720"/>
        <w:gridCol w:w="720"/>
        <w:gridCol w:w="1359"/>
        <w:gridCol w:w="21"/>
        <w:gridCol w:w="688"/>
        <w:gridCol w:w="32"/>
        <w:gridCol w:w="720"/>
        <w:gridCol w:w="60"/>
        <w:gridCol w:w="606"/>
        <w:gridCol w:w="54"/>
        <w:gridCol w:w="654"/>
        <w:gridCol w:w="66"/>
        <w:gridCol w:w="643"/>
        <w:gridCol w:w="77"/>
        <w:gridCol w:w="1442"/>
      </w:tblGrid>
      <w:tr w:rsidR="006C7E77">
        <w:trPr>
          <w:cantSplit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задачи,  </w:t>
            </w:r>
            <w:r>
              <w:rPr>
                <w:rFonts w:ascii="Times New Roman" w:hAnsi="Times New Roman" w:cs="Times New Roman"/>
              </w:rPr>
              <w:br/>
              <w:t xml:space="preserve">   основные   </w:t>
            </w:r>
            <w:r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</w:t>
            </w:r>
            <w:r>
              <w:rPr>
                <w:rFonts w:ascii="Times New Roman" w:hAnsi="Times New Roman" w:cs="Times New Roman"/>
              </w:rPr>
              <w:br/>
              <w:t>(ква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тал, </w:t>
            </w:r>
            <w:r>
              <w:rPr>
                <w:rFonts w:ascii="Times New Roman" w:hAnsi="Times New Roman" w:cs="Times New Roman"/>
              </w:rPr>
              <w:br/>
              <w:t xml:space="preserve">  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ники   </w:t>
            </w:r>
            <w:r>
              <w:rPr>
                <w:rFonts w:ascii="Times New Roman" w:hAnsi="Times New Roman" w:cs="Times New Roman"/>
              </w:rPr>
              <w:br/>
              <w:t>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       </w:t>
            </w:r>
            <w:r>
              <w:rPr>
                <w:rFonts w:ascii="Times New Roman" w:hAnsi="Times New Roman" w:cs="Times New Roman"/>
              </w:rPr>
              <w:br/>
              <w:t xml:space="preserve">   финансирования,   </w:t>
            </w:r>
            <w:r>
              <w:rPr>
                <w:rFonts w:ascii="Times New Roman" w:hAnsi="Times New Roman" w:cs="Times New Roman"/>
              </w:rPr>
              <w:br/>
              <w:t xml:space="preserve">      тыс. руб.</w:t>
            </w: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(индикаторы)   </w:t>
            </w:r>
            <w:r>
              <w:rPr>
                <w:rFonts w:ascii="Times New Roman" w:hAnsi="Times New Roman" w:cs="Times New Roman"/>
              </w:rPr>
              <w:br/>
              <w:t xml:space="preserve"> результативности выполнения </w:t>
            </w:r>
            <w:r>
              <w:rPr>
                <w:rFonts w:ascii="Times New Roman" w:hAnsi="Times New Roman" w:cs="Times New Roman"/>
              </w:rPr>
              <w:br/>
              <w:t xml:space="preserve"> основных мероприятий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</w:t>
            </w:r>
            <w:r>
              <w:rPr>
                <w:rFonts w:ascii="Times New Roman" w:hAnsi="Times New Roman" w:cs="Times New Roman"/>
              </w:rPr>
              <w:br/>
              <w:t xml:space="preserve">  перечень  </w:t>
            </w:r>
            <w:r>
              <w:rPr>
                <w:rFonts w:ascii="Times New Roman" w:hAnsi="Times New Roman" w:cs="Times New Roman"/>
              </w:rPr>
              <w:br/>
              <w:t>организаций,</w:t>
            </w:r>
            <w:r>
              <w:rPr>
                <w:rFonts w:ascii="Times New Roman" w:hAnsi="Times New Roman" w:cs="Times New Roman"/>
              </w:rPr>
              <w:br/>
              <w:t xml:space="preserve">участвующих </w:t>
            </w:r>
            <w:r>
              <w:rPr>
                <w:rFonts w:ascii="Times New Roman" w:hAnsi="Times New Roman" w:cs="Times New Roman"/>
              </w:rPr>
              <w:br/>
              <w:t>в реализации</w:t>
            </w:r>
            <w:r>
              <w:rPr>
                <w:rFonts w:ascii="Times New Roman" w:hAnsi="Times New Roman" w:cs="Times New Roman"/>
              </w:rPr>
              <w:br/>
              <w:t xml:space="preserve">основных </w:t>
            </w:r>
            <w:r>
              <w:rPr>
                <w:rFonts w:ascii="Times New Roman" w:hAnsi="Times New Roman" w:cs="Times New Roman"/>
              </w:rPr>
              <w:br/>
              <w:t>мероприятий</w:t>
            </w:r>
            <w:r>
              <w:rPr>
                <w:rStyle w:val="af6"/>
              </w:rPr>
              <w:footnoteReference w:id="2"/>
            </w:r>
          </w:p>
        </w:tc>
      </w:tr>
      <w:tr w:rsidR="006C7E77">
        <w:trPr>
          <w:cantSplit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C7E77" w:rsidRDefault="006C7E7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год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</w:t>
            </w:r>
            <w:r>
              <w:rPr>
                <w:rFonts w:ascii="Times New Roman" w:hAnsi="Times New Roman" w:cs="Times New Roman"/>
              </w:rPr>
              <w:br/>
              <w:t>ед. измерения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pStyle w:val="ConsPlusCell"/>
            </w:pPr>
          </w:p>
        </w:tc>
      </w:tr>
      <w:tr w:rsidR="006C7E77">
        <w:trPr>
          <w:tblHeader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C7E77">
        <w:trPr>
          <w:cantSplit/>
          <w:trHeight w:val="19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8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Задача 4:          Проведение ремонтных работ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77">
        <w:trPr>
          <w:cantSplit/>
          <w:trHeight w:val="39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 помещений МБУ 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«Краеведческий 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5263,2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5263,2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ведческий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2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</w:t>
            </w:r>
            <w:proofErr w:type="gramStart"/>
            <w:r>
              <w:rPr>
                <w:rFonts w:ascii="Times New Roman" w:hAnsi="Times New Roman" w:cs="Times New Roman"/>
              </w:rPr>
              <w:t>проверки определения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верности  сметной стоимости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ремонта помещ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МБУ «Краеведч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301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Капитальный ремонт кровли 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ры»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4008,5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тивного  зала МБУ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«Мценский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Дворец культуры»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рамках проекта «Народный бюджет в Орловской области»)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1493,5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Дворец </w:t>
            </w:r>
            <w:r>
              <w:rPr>
                <w:rFonts w:ascii="Times New Roman" w:hAnsi="Times New Roman" w:cs="Times New Roman"/>
              </w:rPr>
              <w:lastRenderedPageBreak/>
              <w:t>культуры»</w:t>
            </w: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748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 - сметной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тации, проверка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деления достоверн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сметной стоим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на проведение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 по капитальному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монту помещений МБУ « Краеве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ческий музей»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ния, ед.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ведческий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Всего: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7056,8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742,4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6090,3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8808,1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7E77">
        <w:trPr>
          <w:cantSplit/>
          <w:trHeight w:val="19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C7E77" w:rsidRDefault="006C7E77">
      <w:pPr>
        <w:jc w:val="center"/>
        <w:rPr>
          <w:sz w:val="26"/>
          <w:szCs w:val="16"/>
        </w:rPr>
        <w:sectPr w:rsidR="006C7E77">
          <w:type w:val="nextColumn"/>
          <w:pgSz w:w="16838" w:h="11906" w:orient="landscape"/>
          <w:pgMar w:top="284" w:right="851" w:bottom="851" w:left="1418" w:header="709" w:footer="709" w:gutter="0"/>
          <w:cols w:space="720"/>
          <w:docGrid w:linePitch="326"/>
        </w:sectPr>
      </w:pPr>
    </w:p>
    <w:p w:rsidR="006C7E77" w:rsidRDefault="006C7E77">
      <w:pPr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p w:rsidR="006C7E77" w:rsidRDefault="006C7E77">
      <w:pPr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p w:rsidR="006C7E77" w:rsidRDefault="006C7E77">
      <w:pPr>
        <w:autoSpaceDE w:val="0"/>
        <w:autoSpaceDN w:val="0"/>
        <w:adjustRightInd w:val="0"/>
        <w:jc w:val="center"/>
        <w:outlineLvl w:val="1"/>
        <w:rPr>
          <w:sz w:val="26"/>
          <w:szCs w:val="28"/>
        </w:rPr>
        <w:sectPr w:rsidR="006C7E77">
          <w:type w:val="nextColumn"/>
          <w:pgSz w:w="16838" w:h="11906" w:orient="landscape"/>
          <w:pgMar w:top="1134" w:right="851" w:bottom="851" w:left="1418" w:header="709" w:footer="709" w:gutter="0"/>
          <w:cols w:space="720"/>
          <w:docGrid w:linePitch="326"/>
        </w:sectPr>
      </w:pPr>
    </w:p>
    <w:p w:rsidR="006C7E77" w:rsidRDefault="006C7E7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6C7E77" w:rsidRDefault="006C7E7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6C7E77" w:rsidRDefault="006C7E7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Мценска</w:t>
      </w:r>
    </w:p>
    <w:p w:rsidR="006C7E77" w:rsidRDefault="005232F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13. 11.2018 №  1314</w:t>
      </w:r>
    </w:p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</w:t>
      </w:r>
    </w:p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 Обоснование ресурсного обеспечения подпрограммы</w:t>
      </w:r>
    </w:p>
    <w:p w:rsidR="006C7E77" w:rsidRDefault="006C7E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отрасли культуры и искусства города Мценска</w:t>
      </w:r>
    </w:p>
    <w:p w:rsidR="006C7E77" w:rsidRDefault="006C7E77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8"/>
          <w:szCs w:val="28"/>
        </w:rPr>
        <w:t>(2018–2022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</w:t>
      </w:r>
    </w:p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</w:pPr>
    </w:p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1260"/>
        <w:gridCol w:w="1260"/>
        <w:gridCol w:w="1080"/>
        <w:gridCol w:w="720"/>
        <w:gridCol w:w="900"/>
        <w:gridCol w:w="1080"/>
      </w:tblGrid>
      <w:tr w:rsidR="006C7E77">
        <w:trPr>
          <w:cantSplit/>
          <w:trHeight w:val="560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реализации, тыс. руб.</w:t>
            </w:r>
          </w:p>
        </w:tc>
      </w:tr>
      <w:tr w:rsidR="006C7E77">
        <w:trPr>
          <w:cantSplit/>
          <w:trHeight w:val="149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7E77">
        <w:trPr>
          <w:trHeight w:val="249"/>
          <w:tblHeader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7E77">
        <w:trPr>
          <w:trHeight w:val="2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подпрограмме: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16803,5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7086,8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C7E77">
        <w:trPr>
          <w:cantSplit/>
          <w:trHeight w:val="1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счет: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7">
        <w:trPr>
          <w:cantSplit/>
          <w:trHeight w:val="5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образования город Мценск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1531,0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742,4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548,6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C7E77">
        <w:trPr>
          <w:cantSplit/>
          <w:trHeight w:val="1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14898,4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6090,3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8808,1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E77">
        <w:trPr>
          <w:cantSplit/>
          <w:trHeight w:val="1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E77">
        <w:trPr>
          <w:cantSplit/>
          <w:trHeight w:val="1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7" w:rsidRDefault="006C7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7" w:rsidRDefault="006C7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6C7E77" w:rsidRDefault="006C7E77">
      <w:pPr>
        <w:widowControl w:val="0"/>
        <w:autoSpaceDE w:val="0"/>
        <w:autoSpaceDN w:val="0"/>
        <w:adjustRightInd w:val="0"/>
        <w:jc w:val="center"/>
        <w:outlineLvl w:val="2"/>
      </w:pPr>
    </w:p>
    <w:p w:rsidR="006C7E77" w:rsidRDefault="006C7E77">
      <w:pPr>
        <w:pStyle w:val="af2"/>
        <w:tabs>
          <w:tab w:val="left" w:pos="0"/>
        </w:tabs>
        <w:rPr>
          <w:szCs w:val="24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p w:rsidR="006C7E77" w:rsidRDefault="006C7E77">
      <w:pPr>
        <w:rPr>
          <w:sz w:val="26"/>
          <w:szCs w:val="28"/>
        </w:rPr>
      </w:pPr>
    </w:p>
    <w:sectPr w:rsidR="006C7E77">
      <w:type w:val="nextColumn"/>
      <w:pgSz w:w="11906" w:h="16838"/>
      <w:pgMar w:top="1134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F8" w:rsidRDefault="00B350F8">
      <w:r>
        <w:separator/>
      </w:r>
    </w:p>
  </w:endnote>
  <w:endnote w:type="continuationSeparator" w:id="0">
    <w:p w:rsidR="00B350F8" w:rsidRDefault="00B3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F8" w:rsidRDefault="00B350F8">
      <w:r>
        <w:separator/>
      </w:r>
    </w:p>
  </w:footnote>
  <w:footnote w:type="continuationSeparator" w:id="0">
    <w:p w:rsidR="00B350F8" w:rsidRDefault="00B350F8">
      <w:r>
        <w:continuationSeparator/>
      </w:r>
    </w:p>
  </w:footnote>
  <w:footnote w:id="1">
    <w:p w:rsidR="006C7E77" w:rsidRDefault="006C7E77">
      <w:pPr>
        <w:widowControl w:val="0"/>
        <w:autoSpaceDE w:val="0"/>
        <w:autoSpaceDN w:val="0"/>
        <w:adjustRightInd w:val="0"/>
      </w:pPr>
    </w:p>
  </w:footnote>
  <w:footnote w:id="2">
    <w:p w:rsidR="006C7E77" w:rsidRDefault="006C7E77">
      <w:pPr>
        <w:widowControl w:val="0"/>
        <w:autoSpaceDE w:val="0"/>
        <w:autoSpaceDN w:val="0"/>
        <w:adjustRightInd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4DE"/>
    <w:multiLevelType w:val="hybridMultilevel"/>
    <w:tmpl w:val="75083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E642E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272C"/>
    <w:multiLevelType w:val="hybridMultilevel"/>
    <w:tmpl w:val="0D24765E"/>
    <w:lvl w:ilvl="0" w:tplc="C6821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16EA2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647F"/>
    <w:multiLevelType w:val="hybridMultilevel"/>
    <w:tmpl w:val="9670B64A"/>
    <w:lvl w:ilvl="0" w:tplc="C2D26F2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032269"/>
    <w:multiLevelType w:val="hybridMultilevel"/>
    <w:tmpl w:val="778CC264"/>
    <w:lvl w:ilvl="0" w:tplc="333033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04D4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076"/>
    <w:multiLevelType w:val="hybridMultilevel"/>
    <w:tmpl w:val="41EA425A"/>
    <w:lvl w:ilvl="0" w:tplc="05CE234A">
      <w:start w:val="1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25A018B4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2DA9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54D71"/>
    <w:multiLevelType w:val="hybridMultilevel"/>
    <w:tmpl w:val="3ABE0BB6"/>
    <w:lvl w:ilvl="0" w:tplc="C2D26F2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25038A"/>
    <w:multiLevelType w:val="hybridMultilevel"/>
    <w:tmpl w:val="18500CB8"/>
    <w:lvl w:ilvl="0" w:tplc="2580FACC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2">
    <w:nsid w:val="3D3B3938"/>
    <w:multiLevelType w:val="hybridMultilevel"/>
    <w:tmpl w:val="C21C3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A4DB3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23B1B"/>
    <w:multiLevelType w:val="hybridMultilevel"/>
    <w:tmpl w:val="95206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2216D"/>
    <w:multiLevelType w:val="hybridMultilevel"/>
    <w:tmpl w:val="1954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C37C7"/>
    <w:multiLevelType w:val="hybridMultilevel"/>
    <w:tmpl w:val="FCF25D5A"/>
    <w:lvl w:ilvl="0" w:tplc="C6821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30A9D"/>
    <w:multiLevelType w:val="hybridMultilevel"/>
    <w:tmpl w:val="E16A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50BC"/>
    <w:multiLevelType w:val="hybridMultilevel"/>
    <w:tmpl w:val="02D4B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40F4C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319E8"/>
    <w:multiLevelType w:val="hybridMultilevel"/>
    <w:tmpl w:val="054C76A2"/>
    <w:lvl w:ilvl="0" w:tplc="C6821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74F45"/>
    <w:multiLevelType w:val="hybridMultilevel"/>
    <w:tmpl w:val="9670B64A"/>
    <w:lvl w:ilvl="0" w:tplc="C2D26F2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B67A8A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5BEA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4454D"/>
    <w:multiLevelType w:val="hybridMultilevel"/>
    <w:tmpl w:val="32F89E28"/>
    <w:lvl w:ilvl="0" w:tplc="C6821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E60C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D15B8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95AB0"/>
    <w:multiLevelType w:val="hybridMultilevel"/>
    <w:tmpl w:val="376CB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6821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E2ECF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908AB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77170"/>
    <w:multiLevelType w:val="hybridMultilevel"/>
    <w:tmpl w:val="5CCC9544"/>
    <w:lvl w:ilvl="0" w:tplc="C2D26F24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E37022"/>
    <w:multiLevelType w:val="hybridMultilevel"/>
    <w:tmpl w:val="7E063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E7A3D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F732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0702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9046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A2F1E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18"/>
  </w:num>
  <w:num w:numId="33">
    <w:abstractNumId w:val="14"/>
  </w:num>
  <w:num w:numId="34">
    <w:abstractNumId w:val="12"/>
  </w:num>
  <w:num w:numId="35">
    <w:abstractNumId w:val="11"/>
  </w:num>
  <w:num w:numId="36">
    <w:abstractNumId w:val="27"/>
  </w:num>
  <w:num w:numId="37">
    <w:abstractNumId w:val="16"/>
  </w:num>
  <w:num w:numId="38">
    <w:abstractNumId w:val="24"/>
  </w:num>
  <w:num w:numId="39">
    <w:abstractNumId w:val="7"/>
  </w:num>
  <w:num w:numId="40">
    <w:abstractNumId w:val="0"/>
  </w:num>
  <w:num w:numId="41">
    <w:abstractNumId w:val="17"/>
  </w:num>
  <w:num w:numId="42">
    <w:abstractNumId w:val="2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2FB"/>
    <w:rsid w:val="00035FBF"/>
    <w:rsid w:val="00337ECE"/>
    <w:rsid w:val="005232FB"/>
    <w:rsid w:val="006C7E77"/>
    <w:rsid w:val="00B3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0"/>
    <w:next w:val="a"/>
    <w:qFormat/>
    <w:pPr>
      <w:suppressAutoHyphens/>
      <w:spacing w:before="120" w:after="360"/>
      <w:ind w:firstLine="709"/>
    </w:pPr>
    <w:rPr>
      <w:rFonts w:ascii="Times New Roman" w:hAnsi="Times New Roman"/>
      <w:bCs w:val="0"/>
      <w:sz w:val="36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"/>
    <w:semiHidden/>
    <w:pPr>
      <w:ind w:firstLine="708"/>
      <w:jc w:val="both"/>
    </w:pPr>
    <w:rPr>
      <w:bCs/>
      <w:sz w:val="26"/>
      <w:szCs w:val="28"/>
    </w:rPr>
  </w:style>
  <w:style w:type="character" w:customStyle="1" w:styleId="10">
    <w:name w:val="Заголовок 1 Знак"/>
    <w:rPr>
      <w:b/>
      <w:kern w:val="28"/>
      <w:sz w:val="36"/>
      <w:lang/>
    </w:rPr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rPr>
      <w:rFonts w:ascii="Cambria" w:hAnsi="Cambria"/>
      <w:b/>
      <w:bCs/>
      <w:kern w:val="28"/>
      <w:sz w:val="32"/>
      <w:szCs w:val="32"/>
      <w:lang/>
    </w:r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semiHidden/>
    <w:unhideWhenUsed/>
    <w:pPr>
      <w:ind w:left="480"/>
    </w:pPr>
  </w:style>
  <w:style w:type="paragraph" w:styleId="a6">
    <w:name w:val="header"/>
    <w:basedOn w:val="a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rPr>
      <w:sz w:val="24"/>
      <w:szCs w:val="24"/>
      <w:lang/>
    </w:rPr>
  </w:style>
  <w:style w:type="paragraph" w:styleId="a8">
    <w:name w:val="footer"/>
    <w:basedOn w:val="a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rPr>
      <w:sz w:val="24"/>
      <w:szCs w:val="24"/>
      <w:lang/>
    </w:rPr>
  </w:style>
  <w:style w:type="paragraph" w:styleId="aa">
    <w:name w:val="Body Text"/>
    <w:basedOn w:val="a"/>
    <w:semiHidden/>
    <w:unhideWhenUsed/>
    <w:pPr>
      <w:suppressAutoHyphens/>
      <w:spacing w:after="120"/>
      <w:ind w:firstLine="709"/>
      <w:jc w:val="both"/>
    </w:pPr>
    <w:rPr>
      <w:rFonts w:eastAsia="Calibri"/>
      <w:lang w:eastAsia="ar-SA"/>
    </w:rPr>
  </w:style>
  <w:style w:type="character" w:customStyle="1" w:styleId="ab">
    <w:name w:val="Основной текст Знак"/>
    <w:rPr>
      <w:rFonts w:eastAsia="Calibri"/>
      <w:sz w:val="24"/>
      <w:szCs w:val="24"/>
      <w:lang w:eastAsia="ar-SA"/>
    </w:rPr>
  </w:style>
  <w:style w:type="paragraph" w:styleId="ac">
    <w:name w:val="Body Text Indent"/>
    <w:basedOn w:val="a"/>
    <w:semiHidden/>
    <w:unhideWhenUsed/>
    <w:pPr>
      <w:numPr>
        <w:ilvl w:val="12"/>
      </w:numPr>
      <w:spacing w:line="360" w:lineRule="auto"/>
      <w:ind w:firstLine="709"/>
      <w:jc w:val="both"/>
    </w:pPr>
    <w:rPr>
      <w:sz w:val="30"/>
      <w:szCs w:val="20"/>
      <w:lang/>
    </w:rPr>
  </w:style>
  <w:style w:type="character" w:customStyle="1" w:styleId="ad">
    <w:name w:val="Основной текст с отступом Знак"/>
    <w:rPr>
      <w:sz w:val="30"/>
      <w:lang/>
    </w:rPr>
  </w:style>
  <w:style w:type="paragraph" w:styleId="ae">
    <w:name w:val="Document Map"/>
    <w:basedOn w:val="a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rPr>
      <w:rFonts w:ascii="Tahoma" w:hAnsi="Tahoma" w:cs="Tahoma"/>
      <w:shd w:val="clear" w:color="auto" w:fill="000080"/>
    </w:rPr>
  </w:style>
  <w:style w:type="paragraph" w:styleId="af0">
    <w:name w:val="Balloon Text"/>
    <w:basedOn w:val="a"/>
    <w:unhideWhenUsed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List Paragraph"/>
    <w:basedOn w:val="a"/>
    <w:qFormat/>
    <w:pPr>
      <w:ind w:left="720" w:firstLine="709"/>
      <w:contextualSpacing/>
      <w:jc w:val="both"/>
    </w:pPr>
    <w:rPr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Содержимое таблицы"/>
    <w:basedOn w:val="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NoSpacing">
    <w:name w:val="No Spacing"/>
    <w:rPr>
      <w:rFonts w:ascii="Calibri" w:hAnsi="Calibri"/>
      <w:sz w:val="22"/>
      <w:szCs w:val="22"/>
      <w:lang w:eastAsia="en-US"/>
    </w:rPr>
  </w:style>
  <w:style w:type="character" w:customStyle="1" w:styleId="FontStyle32">
    <w:name w:val="Font Style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rPr>
      <w:rFonts w:ascii="Times New Roman" w:hAnsi="Times New Roman" w:cs="Times New Roman" w:hint="default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Верхний колонтитул Знак1"/>
    <w:semiHidden/>
    <w:rPr>
      <w:sz w:val="24"/>
      <w:szCs w:val="24"/>
    </w:rPr>
  </w:style>
  <w:style w:type="character" w:customStyle="1" w:styleId="12">
    <w:name w:val="Нижний колонтитул Знак1"/>
    <w:semiHidden/>
    <w:rPr>
      <w:sz w:val="24"/>
      <w:szCs w:val="24"/>
    </w:rPr>
  </w:style>
  <w:style w:type="character" w:customStyle="1" w:styleId="13">
    <w:name w:val="Основной текст с отступом Знак1"/>
    <w:semiHidden/>
    <w:rPr>
      <w:sz w:val="24"/>
      <w:szCs w:val="24"/>
    </w:rPr>
  </w:style>
  <w:style w:type="character" w:customStyle="1" w:styleId="14">
    <w:name w:val="Текст выноски Знак1"/>
    <w:semiHidden/>
    <w:rPr>
      <w:rFonts w:ascii="Tahoma" w:hAnsi="Tahoma" w:cs="Tahoma" w:hint="default"/>
      <w:sz w:val="16"/>
      <w:szCs w:val="16"/>
    </w:rPr>
  </w:style>
  <w:style w:type="character" w:customStyle="1" w:styleId="af4">
    <w:name w:val="Текст сноски Знак"/>
    <w:semiHidden/>
    <w:rPr>
      <w:rFonts w:ascii="Calibri" w:hAnsi="Calibri"/>
      <w:lang/>
    </w:rPr>
  </w:style>
  <w:style w:type="character" w:customStyle="1" w:styleId="20">
    <w:name w:val="Заголовок 2 Знак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sz w:val="16"/>
      <w:szCs w:val="16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Pr>
      <w:sz w:val="24"/>
      <w:szCs w:val="24"/>
    </w:rPr>
  </w:style>
  <w:style w:type="paragraph" w:styleId="23">
    <w:name w:val="Body Text 2"/>
    <w:basedOn w:val="a"/>
    <w:semiHidden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5">
    <w:name w:val="footnote text"/>
    <w:basedOn w:val="a"/>
    <w:semiHidden/>
    <w:unhideWhenUsed/>
    <w:pPr>
      <w:ind w:firstLine="720"/>
      <w:jc w:val="both"/>
    </w:pPr>
    <w:rPr>
      <w:rFonts w:ascii="Calibri" w:hAnsi="Calibri"/>
      <w:sz w:val="20"/>
      <w:szCs w:val="20"/>
      <w:lang/>
    </w:rPr>
  </w:style>
  <w:style w:type="character" w:customStyle="1" w:styleId="15">
    <w:name w:val="Текст сноски Знак1"/>
    <w:basedOn w:val="a1"/>
    <w:semiHidden/>
  </w:style>
  <w:style w:type="character" w:styleId="af6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f7">
    <w:name w:val="List"/>
    <w:basedOn w:val="aa"/>
    <w:semiHidden/>
    <w:pPr>
      <w:ind w:firstLine="0"/>
      <w:jc w:val="left"/>
    </w:pPr>
    <w:rPr>
      <w:rFonts w:ascii="Arial" w:eastAsia="Times New Roman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1545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Мценска </vt:lpstr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Мценска </dc:title>
  <dc:subject/>
  <dc:creator>sveta</dc:creator>
  <cp:keywords/>
  <cp:lastModifiedBy>Admin</cp:lastModifiedBy>
  <cp:revision>2</cp:revision>
  <cp:lastPrinted>2018-11-19T12:05:00Z</cp:lastPrinted>
  <dcterms:created xsi:type="dcterms:W3CDTF">2018-11-23T08:51:00Z</dcterms:created>
  <dcterms:modified xsi:type="dcterms:W3CDTF">2018-11-23T08:51:00Z</dcterms:modified>
</cp:coreProperties>
</file>