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могут быть отнесены,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>кроме случаев, когда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регламент(ы)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AA" w:rsidRDefault="004512AA" w:rsidP="00CD0D80">
      <w:pPr>
        <w:spacing w:after="0" w:line="240" w:lineRule="auto"/>
      </w:pPr>
      <w:r>
        <w:separator/>
      </w:r>
    </w:p>
  </w:endnote>
  <w:endnote w:type="continuationSeparator" w:id="0">
    <w:p w:rsidR="004512AA" w:rsidRDefault="004512AA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FB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FB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AA" w:rsidRDefault="004512AA" w:rsidP="00CD0D80">
      <w:pPr>
        <w:spacing w:after="0" w:line="240" w:lineRule="auto"/>
      </w:pPr>
      <w:r>
        <w:separator/>
      </w:r>
    </w:p>
  </w:footnote>
  <w:footnote w:type="continuationSeparator" w:id="0">
    <w:p w:rsidR="004512AA" w:rsidRDefault="004512AA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1B6EFB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89D7-74FB-486A-988E-F1093D2A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2017-10-24T07:25:00Z</dcterms:created>
  <dcterms:modified xsi:type="dcterms:W3CDTF">2017-10-24T07:25:00Z</dcterms:modified>
</cp:coreProperties>
</file>